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5528"/>
      </w:tblGrid>
      <w:tr w:rsidR="00EE358F" w:rsidRPr="00187B8D" w14:paraId="01A84D97" w14:textId="77777777" w:rsidTr="000C2807">
        <w:trPr>
          <w:trHeight w:val="1276"/>
        </w:trPr>
        <w:tc>
          <w:tcPr>
            <w:tcW w:w="4254" w:type="dxa"/>
            <w:shd w:val="clear" w:color="auto" w:fill="auto"/>
          </w:tcPr>
          <w:p w14:paraId="1CBD1FCE" w14:textId="2D35782A" w:rsidR="00EE358F" w:rsidRPr="00716084" w:rsidRDefault="00AE0D89" w:rsidP="0047009F">
            <w:pPr>
              <w:tabs>
                <w:tab w:val="center" w:pos="720"/>
                <w:tab w:val="center" w:pos="6840"/>
              </w:tabs>
              <w:spacing w:after="0" w:line="240" w:lineRule="auto"/>
              <w:ind w:right="49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UBND HUYỆN </w:t>
            </w:r>
            <w:r w:rsidR="00EE358F" w:rsidRPr="0071608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MƯỜNG KHƯƠNG</w:t>
            </w:r>
          </w:p>
          <w:p w14:paraId="1E79D7A3" w14:textId="3E2BFD43" w:rsidR="00EE358F" w:rsidRDefault="00EE358F" w:rsidP="0047009F">
            <w:pPr>
              <w:tabs>
                <w:tab w:val="center" w:pos="720"/>
                <w:tab w:val="center" w:pos="6840"/>
              </w:tabs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08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A7A841D" wp14:editId="192AFFCA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175894</wp:posOffset>
                      </wp:positionV>
                      <wp:extent cx="1247775" cy="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8A3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.35pt;margin-top:13.85pt;width:9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7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NJsNpt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"/>
                  </w:pict>
                </mc:Fallback>
              </mc:AlternateContent>
            </w:r>
            <w:r w:rsidRPr="007160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MN </w:t>
            </w:r>
            <w:r w:rsidR="00B50E20">
              <w:rPr>
                <w:rFonts w:ascii="Times New Roman" w:hAnsi="Times New Roman" w:cs="Times New Roman"/>
                <w:b/>
                <w:sz w:val="26"/>
                <w:szCs w:val="26"/>
              </w:rPr>
              <w:t>XÃ PHA LONG</w:t>
            </w:r>
          </w:p>
          <w:p w14:paraId="43524BBA" w14:textId="77777777" w:rsidR="0047009F" w:rsidRPr="00716084" w:rsidRDefault="0047009F" w:rsidP="0047009F">
            <w:pPr>
              <w:tabs>
                <w:tab w:val="center" w:pos="720"/>
                <w:tab w:val="center" w:pos="6840"/>
              </w:tabs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FEB4C" w14:textId="5B812764" w:rsidR="00EE358F" w:rsidRPr="00716084" w:rsidRDefault="00EE358F" w:rsidP="0047009F">
            <w:pPr>
              <w:tabs>
                <w:tab w:val="center" w:pos="6840"/>
              </w:tabs>
              <w:spacing w:after="0" w:line="240" w:lineRule="auto"/>
              <w:ind w:righ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7160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proofErr w:type="spellStart"/>
            <w:r w:rsidRPr="0071608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1608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50E20">
              <w:rPr>
                <w:rFonts w:ascii="Times New Roman" w:hAnsi="Times New Roman" w:cs="Times New Roman"/>
                <w:sz w:val="26"/>
                <w:szCs w:val="26"/>
              </w:rPr>
              <w:t>03a</w:t>
            </w:r>
            <w:r w:rsidRPr="00716084">
              <w:rPr>
                <w:rFonts w:ascii="Times New Roman" w:hAnsi="Times New Roman" w:cs="Times New Roman"/>
                <w:sz w:val="26"/>
                <w:szCs w:val="26"/>
              </w:rPr>
              <w:t>/KH-MN</w:t>
            </w:r>
            <w:r w:rsidR="00B50E20">
              <w:rPr>
                <w:rFonts w:ascii="Times New Roman" w:hAnsi="Times New Roman" w:cs="Times New Roman"/>
                <w:sz w:val="26"/>
                <w:szCs w:val="26"/>
              </w:rPr>
              <w:t>PL</w:t>
            </w:r>
            <w:r w:rsidRPr="0071608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14:paraId="14629C74" w14:textId="77777777" w:rsidR="00EE358F" w:rsidRPr="00716084" w:rsidRDefault="00EE358F" w:rsidP="0047009F">
            <w:pPr>
              <w:tabs>
                <w:tab w:val="center" w:pos="720"/>
                <w:tab w:val="center" w:pos="684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0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CỘNG HÒA XÃ HỘI CHỦ NGHĨA VIỆT NAM</w:t>
            </w:r>
          </w:p>
          <w:p w14:paraId="2618B973" w14:textId="77777777" w:rsidR="00EE358F" w:rsidRDefault="00716084" w:rsidP="0047009F">
            <w:pPr>
              <w:tabs>
                <w:tab w:val="center" w:pos="6840"/>
              </w:tabs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608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A3A527" wp14:editId="1E03888F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203142</wp:posOffset>
                      </wp:positionV>
                      <wp:extent cx="1990725" cy="635"/>
                      <wp:effectExtent l="0" t="0" r="2857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1B1AF" id="Straight Arrow Connector 1" o:spid="_x0000_s1026" type="#_x0000_t32" style="position:absolute;margin-left:60.15pt;margin-top:16pt;width:156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"/>
                  </w:pict>
                </mc:Fallback>
              </mc:AlternateContent>
            </w:r>
            <w:r w:rsidR="00EE358F" w:rsidRPr="007160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proofErr w:type="spellStart"/>
            <w:r w:rsidR="00EE358F" w:rsidRPr="00716084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="00EE358F" w:rsidRPr="007160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E358F" w:rsidRPr="00716084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="00EE358F" w:rsidRPr="007160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="00EE358F" w:rsidRPr="00716084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EE358F" w:rsidRPr="007160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="00EE358F" w:rsidRPr="00716084">
              <w:rPr>
                <w:rFonts w:ascii="Times New Roman" w:hAnsi="Times New Roman" w:cs="Times New Roman"/>
                <w:b/>
                <w:sz w:val="26"/>
                <w:szCs w:val="26"/>
              </w:rPr>
              <w:t>Hạ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phúc</w:t>
            </w:r>
          </w:p>
          <w:p w14:paraId="1D8F4A2B" w14:textId="77777777" w:rsidR="0047009F" w:rsidRPr="00716084" w:rsidRDefault="0047009F" w:rsidP="0047009F">
            <w:pPr>
              <w:tabs>
                <w:tab w:val="center" w:pos="6840"/>
              </w:tabs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1D21D9" w14:textId="30A63FD0" w:rsidR="00EE358F" w:rsidRPr="00716084" w:rsidRDefault="00EE358F" w:rsidP="0047009F">
            <w:pPr>
              <w:tabs>
                <w:tab w:val="center" w:pos="6840"/>
              </w:tabs>
              <w:spacing w:after="0" w:line="240" w:lineRule="auto"/>
              <w:ind w:righ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7160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A579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Pr="007160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B50E20">
              <w:rPr>
                <w:rFonts w:ascii="Times New Roman" w:hAnsi="Times New Roman" w:cs="Times New Roman"/>
                <w:i/>
                <w:sz w:val="26"/>
                <w:szCs w:val="26"/>
              </w:rPr>
              <w:t>Pha</w:t>
            </w:r>
            <w:proofErr w:type="spellEnd"/>
            <w:r w:rsidR="00B50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Long</w:t>
            </w:r>
            <w:r w:rsidRPr="007160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16084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7160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50E20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Pr="007160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16084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7160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16084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7160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16084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7160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716084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14:paraId="30B53F79" w14:textId="77777777" w:rsidR="00716084" w:rsidRDefault="00716084" w:rsidP="00716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50BF7A" w14:textId="77777777" w:rsidR="00716084" w:rsidRPr="00716084" w:rsidRDefault="00EE358F" w:rsidP="00716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KẾ HOẠCH </w:t>
      </w:r>
      <w:r w:rsidRPr="00EE3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công</w:t>
      </w:r>
      <w:proofErr w:type="spellEnd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khai</w:t>
      </w:r>
      <w:proofErr w:type="spellEnd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theo</w:t>
      </w:r>
      <w:proofErr w:type="spellEnd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Thông </w:t>
      </w:r>
      <w:proofErr w:type="spellStart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tư</w:t>
      </w:r>
      <w:proofErr w:type="spellEnd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09/2024/TT-BGDĐT</w:t>
      </w:r>
    </w:p>
    <w:p w14:paraId="18CE8B58" w14:textId="3946738F" w:rsidR="00716084" w:rsidRDefault="00EE358F" w:rsidP="00B50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học 2024-2025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6C46CE6" w14:textId="77777777" w:rsidR="00716084" w:rsidRDefault="00EE358F" w:rsidP="0047009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04/2015/NĐ-CP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09/01/2015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ban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8927F0B" w14:textId="77777777" w:rsidR="00716084" w:rsidRDefault="00EE358F" w:rsidP="0047009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60/2021/NĐ-CP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21/6/2021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2720B618" w14:textId="77777777" w:rsidR="00716084" w:rsidRDefault="00716084" w:rsidP="00470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Thông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09/2024/TT-BGDĐT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03/6/2024 của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Giáo </w:t>
      </w:r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Đào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2CF67C2E" w14:textId="420E66CC" w:rsidR="00716084" w:rsidRDefault="00EE358F" w:rsidP="00B50E2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5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PGD</w:t>
      </w:r>
      <w:r w:rsidR="00B50E20">
        <w:rPr>
          <w:rFonts w:ascii="Times New Roman" w:eastAsia="Times New Roman" w:hAnsi="Times New Roman" w:cs="Times New Roman"/>
          <w:color w:val="000000"/>
          <w:sz w:val="28"/>
          <w:szCs w:val="28"/>
        </w:rPr>
        <w:t>&amp;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ĐT-</w:t>
      </w:r>
      <w:r w:rsidR="00B50E20">
        <w:rPr>
          <w:rFonts w:ascii="Times New Roman" w:eastAsia="Times New Roman" w:hAnsi="Times New Roman" w:cs="Times New Roman"/>
          <w:color w:val="000000"/>
          <w:sz w:val="28"/>
          <w:szCs w:val="28"/>
        </w:rPr>
        <w:t>CMTH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18/7/2024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GD&amp;ĐT </w:t>
      </w:r>
      <w:proofErr w:type="spellStart"/>
      <w:r w:rsidR="00B50E20">
        <w:rPr>
          <w:rFonts w:ascii="Times New Roman" w:eastAsia="Times New Roman" w:hAnsi="Times New Roman" w:cs="Times New Roman"/>
          <w:color w:val="000000"/>
          <w:sz w:val="28"/>
          <w:szCs w:val="28"/>
        </w:rPr>
        <w:t>huyện</w:t>
      </w:r>
      <w:proofErr w:type="spellEnd"/>
      <w:r w:rsidR="00B50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0E20">
        <w:rPr>
          <w:rFonts w:ascii="Times New Roman" w:eastAsia="Times New Roman" w:hAnsi="Times New Roman" w:cs="Times New Roman"/>
          <w:color w:val="000000"/>
          <w:sz w:val="28"/>
          <w:szCs w:val="28"/>
        </w:rPr>
        <w:t>Mường</w:t>
      </w:r>
      <w:proofErr w:type="spellEnd"/>
      <w:r w:rsidR="00B50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0E20">
        <w:rPr>
          <w:rFonts w:ascii="Times New Roman" w:eastAsia="Times New Roman" w:hAnsi="Times New Roman" w:cs="Times New Roman"/>
          <w:color w:val="000000"/>
          <w:sz w:val="28"/>
          <w:szCs w:val="28"/>
        </w:rPr>
        <w:t>Khương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Thông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09/2024/TT BGDĐT Quy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="00A57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B50E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0053213" w14:textId="0D024078" w:rsidR="00013BA0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Trường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="00716084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="00716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0E20">
        <w:rPr>
          <w:rFonts w:ascii="Times New Roman" w:eastAsia="Times New Roman" w:hAnsi="Times New Roman" w:cs="Times New Roman"/>
          <w:color w:val="000000"/>
          <w:sz w:val="28"/>
          <w:szCs w:val="28"/>
        </w:rPr>
        <w:t>Pha</w:t>
      </w:r>
      <w:proofErr w:type="spellEnd"/>
      <w:r w:rsidR="00B50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</w:t>
      </w:r>
      <w:r w:rsidR="00716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xây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B50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Thông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09/2024/TT-BGDĐT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2024-2025,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706B2CD" w14:textId="29D4B3DF" w:rsidR="00716084" w:rsidRPr="0047009F" w:rsidRDefault="00716084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358F"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MỤC ĐÍCH YÊU CẦU </w:t>
      </w:r>
    </w:p>
    <w:p w14:paraId="597C5202" w14:textId="77777777" w:rsidR="00013BA0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đích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0B58F3E" w14:textId="73853CD9" w:rsidR="00716084" w:rsidRPr="00013BA0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trường.   </w:t>
      </w:r>
    </w:p>
    <w:p w14:paraId="40450814" w14:textId="4E04C2A6" w:rsidR="00716084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sót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08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716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08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716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084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716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08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="007160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53B6D7" w14:textId="77777777" w:rsidR="00716084" w:rsidRPr="00716084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</w:t>
      </w:r>
      <w:proofErr w:type="spellEnd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cầu</w:t>
      </w:r>
      <w:proofErr w:type="spellEnd"/>
      <w:r w:rsidRPr="00716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D9A2C33" w14:textId="77777777" w:rsid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tại Thông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09/2024/TT BGDĐT.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NỘI DUNG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E9E6F0E" w14:textId="3FFB12B8" w:rsidR="00412CD6" w:rsidRPr="00013BA0" w:rsidRDefault="00013BA0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E358F" w:rsidRPr="00013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Thông tin </w:t>
      </w:r>
      <w:proofErr w:type="spellStart"/>
      <w:r w:rsidR="00EE358F" w:rsidRPr="00013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chung</w:t>
      </w:r>
      <w:proofErr w:type="spellEnd"/>
      <w:r w:rsidR="00EE358F" w:rsidRPr="00013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E358F" w:rsidRPr="00013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="00EE358F" w:rsidRPr="00013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E358F" w:rsidRPr="00013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đơn</w:t>
      </w:r>
      <w:proofErr w:type="spellEnd"/>
      <w:r w:rsidR="00EE358F" w:rsidRPr="00013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E358F" w:rsidRPr="00013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vị</w:t>
      </w:r>
      <w:proofErr w:type="spellEnd"/>
      <w:r w:rsidR="00EE358F" w:rsidRPr="00013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F172D59" w14:textId="77777777" w:rsid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67339130" w14:textId="77777777" w:rsid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trụ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trường,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trường. </w:t>
      </w:r>
    </w:p>
    <w:p w14:paraId="4055C0F8" w14:textId="77777777" w:rsid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4D8BE77" w14:textId="77777777" w:rsid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Sứ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A0FA2EF" w14:textId="77777777" w:rsid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Tóm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14:paraId="44EAA482" w14:textId="77777777" w:rsidR="00412CD6" w:rsidRDefault="00412CD6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 Thông tin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bao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làm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8B5E877" w14:textId="77777777" w:rsid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75A403E1" w14:textId="77777777" w:rsid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sáp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3035C93F" w14:textId="31DFD84F" w:rsid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A57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A57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trường;</w:t>
      </w:r>
      <w:proofErr w:type="gramEnd"/>
    </w:p>
    <w:p w14:paraId="1A764F21" w14:textId="5B8DBE22" w:rsid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7C66547" w14:textId="77777777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Quy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212828CA" w14:textId="77777777" w:rsid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sáp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CB1989D" w14:textId="77777777" w:rsid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làm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đạo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4388098" w14:textId="77777777" w:rsid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hút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ngũ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66AA44F2" w14:textId="77777777" w:rsidR="00412CD6" w:rsidRP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Thu, chi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tài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chính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D23F02D" w14:textId="725279E1" w:rsidR="00412CD6" w:rsidRDefault="00EE358F" w:rsidP="00013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liền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6C1B647" w14:textId="6E7BC7C1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ngân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học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với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khoa học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proofErr w:type="gram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proofErr w:type="gram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07AAA04" w14:textId="4C0B9508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,...); chi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(chi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sắm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sửa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chữa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thuê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mướn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ngũ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,...); chi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trợ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(học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bổng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khen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thưởng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,...); chi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CD94EB1" w14:textId="7404D475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với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học, bao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học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14:paraId="17ACC414" w14:textId="52088A23" w:rsidR="00412CD6" w:rsidRDefault="0047009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học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bổng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với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học.  </w:t>
      </w:r>
    </w:p>
    <w:p w14:paraId="59EAFCB2" w14:textId="4F08D22B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dư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quỹ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thù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</w:t>
      </w:r>
    </w:p>
    <w:p w14:paraId="26ED12CE" w14:textId="0E1417B7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ngân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kiểm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FF73004" w14:textId="781D2650" w:rsidR="00412CD6" w:rsidRDefault="00EE358F" w:rsidP="0047009F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Điều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kiện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bảo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đảm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lượng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giáo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dục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mầm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non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Thông tin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ngũ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78F9F8B8" w14:textId="1153BE15" w:rsidR="0047009F" w:rsidRDefault="0047009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làm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C7A102" w14:textId="79066C60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tỷ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D788E70" w14:textId="3FF429E4" w:rsidR="00412CD6" w:rsidRDefault="00A57942" w:rsidP="00A57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tỷ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4FD27D1" w14:textId="77777777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Thông tin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EED618E" w14:textId="77777777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xây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thiểu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với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thiểu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53C45C40" w14:textId="77777777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tổ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nấu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tầng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với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thiểu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2F13F105" w14:textId="77777777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với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thiểu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2B122AA1" w14:textId="77777777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14:paraId="72FA25D9" w14:textId="77777777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Thông tin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kiểm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18ADAFD" w14:textId="77777777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46FFD7C7" w14:textId="77777777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kiểm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mốc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05CC27" w14:textId="77777777" w:rsidR="00412CD6" w:rsidRDefault="00EE358F" w:rsidP="00A57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 </w:t>
      </w:r>
      <w:proofErr w:type="spellStart"/>
      <w:r w:rsid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975D7D2" w14:textId="77777777" w:rsidR="00412CD6" w:rsidRDefault="00412CD6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chi</w:t>
      </w:r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8E58376" w14:textId="77777777" w:rsidR="00412CD6" w:rsidRDefault="00412CD6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kiểm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37F0F61F" w14:textId="77777777" w:rsidR="00412CD6" w:rsidRDefault="00EE358F" w:rsidP="0047009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21EDC34" w14:textId="77777777" w:rsidR="00412CD6" w:rsidRPr="00412CD6" w:rsidRDefault="00EE358F" w:rsidP="0047009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hoạch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giáo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dục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mầm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non</w:t>
      </w:r>
    </w:p>
    <w:p w14:paraId="64F281AB" w14:textId="77777777" w:rsidR="00412CD6" w:rsidRDefault="00EE358F" w:rsidP="00AE0D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Thông tin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học: </w:t>
      </w:r>
    </w:p>
    <w:p w14:paraId="4665619A" w14:textId="77777777" w:rsidR="00EE358F" w:rsidRPr="00EE358F" w:rsidRDefault="00EE358F" w:rsidP="00AE0D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mốc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</w:p>
    <w:p w14:paraId="3A5E1AAD" w14:textId="77777777" w:rsidR="00412CD6" w:rsidRDefault="00EE358F" w:rsidP="00AE0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47322E7F" w14:textId="77777777" w:rsidR="00412CD6" w:rsidRDefault="00EE358F" w:rsidP="00AE0D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B2E9B32" w14:textId="77777777" w:rsidR="00412CD6" w:rsidRDefault="00EE358F" w:rsidP="00AE0D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Quy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với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604BDEE" w14:textId="77777777" w:rsidR="00412CD6" w:rsidRDefault="00EE358F" w:rsidP="00AE0D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2EF73B8A" w14:textId="77777777" w:rsidR="00412CD6" w:rsidRDefault="00EE358F" w:rsidP="00AE0D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Các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5DB3DC25" w14:textId="77777777" w:rsidR="00412CD6" w:rsidRDefault="00EE358F" w:rsidP="00AE0D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Thông tin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8116E6D" w14:textId="77777777" w:rsidR="00412CD6" w:rsidRDefault="00EE358F" w:rsidP="00AE0D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14:paraId="2FC63686" w14:textId="77777777" w:rsidR="00412CD6" w:rsidRDefault="00EE358F" w:rsidP="00AE0D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14:paraId="62266DDF" w14:textId="77777777" w:rsidR="00412CD6" w:rsidRDefault="00EE358F" w:rsidP="00A5794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02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751F0E1" w14:textId="77777777" w:rsidR="00412CD6" w:rsidRDefault="00EE358F" w:rsidP="00A5794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</w:p>
    <w:p w14:paraId="1D92E505" w14:textId="77777777" w:rsidR="00412CD6" w:rsidRDefault="00EE358F" w:rsidP="00A5794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dõi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kiểm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2768BF45" w14:textId="77777777" w:rsidR="00412CD6" w:rsidRDefault="00EE358F" w:rsidP="00A5794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3E8876E" w14:textId="77777777" w:rsidR="00A57942" w:rsidRDefault="00EE358F" w:rsidP="00A5794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khuyết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tật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CÁCH THỨC VÀ THỜI GIAN CÔNG KHAI </w:t>
      </w:r>
    </w:p>
    <w:p w14:paraId="27CA3E31" w14:textId="74037E7F" w:rsidR="00A57942" w:rsidRDefault="00EE358F" w:rsidP="00A5794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Cách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công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cổng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2642D367" w14:textId="61608BFE" w:rsidR="00412CD6" w:rsidRPr="00A57942" w:rsidRDefault="00EE358F" w:rsidP="00A5794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với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A57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tại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</w:p>
    <w:p w14:paraId="6CB4D222" w14:textId="7D701B6B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Báo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file PDF với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thiểu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tại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lục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Thông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09/2024/TT-BGDĐT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03/6/2024. </w:t>
      </w:r>
    </w:p>
    <w:p w14:paraId="4FFA1DB0" w14:textId="2753E057" w:rsidR="00A57942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tại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họp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1F98B74" w14:textId="382A6152" w:rsidR="0047009F" w:rsidRPr="00A57942" w:rsidRDefault="00EE358F" w:rsidP="00A5794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D67B01E" w14:textId="77777777" w:rsidR="00412CD6" w:rsidRPr="0047009F" w:rsidRDefault="00EE358F" w:rsidP="0047009F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Thời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gian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công</w:t>
      </w:r>
      <w:proofErr w:type="spellEnd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3CB6431" w14:textId="195A8612" w:rsidR="00A57942" w:rsidRDefault="00412CD6" w:rsidP="00A5794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009F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="00470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009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470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009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470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="0047009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470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009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="00470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009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470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009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470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Trường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do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khách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chậm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làm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Các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cổng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tin: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của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Bảy của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E6BA03" w14:textId="77777777" w:rsidR="00A57942" w:rsidRDefault="00EE358F" w:rsidP="00A5794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Công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liền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kề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với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14:paraId="6C4E20FF" w14:textId="77777777" w:rsidR="00A57942" w:rsidRDefault="00EE358F" w:rsidP="00A5794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cổng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thiểu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</w:p>
    <w:p w14:paraId="0204F631" w14:textId="6633CD0C" w:rsidR="00412CD6" w:rsidRDefault="00412CD6" w:rsidP="00A5794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tại Thông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09/2024/TT-BGDĐT,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="00EE358F" w:rsidRPr="00EE3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3655DE4" w14:textId="77777777" w:rsidR="00412CD6" w:rsidRPr="00FE3695" w:rsidRDefault="00EE358F" w:rsidP="0047009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TỔ CHỨC THỰC HIỆN </w:t>
      </w:r>
    </w:p>
    <w:p w14:paraId="32CFAE20" w14:textId="77777777" w:rsidR="00412CD6" w:rsidRPr="00FE3695" w:rsidRDefault="00412CD6" w:rsidP="0047009F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Ban </w:t>
      </w:r>
      <w:proofErr w:type="spellStart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giám</w:t>
      </w:r>
      <w:proofErr w:type="spellEnd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hiệu</w:t>
      </w:r>
      <w:proofErr w:type="spellEnd"/>
    </w:p>
    <w:p w14:paraId="6457D83D" w14:textId="0C54B619" w:rsidR="00412CD6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Xây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dung,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theo.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0F9B77" w14:textId="77777777" w:rsidR="00FE3695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Ban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6CBEF03" w14:textId="77777777" w:rsidR="00FE3695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89D0434" w14:textId="77777777" w:rsidR="0047009F" w:rsidRPr="0047009F" w:rsidRDefault="00EE358F" w:rsidP="00A579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Báo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Giáo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Đào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B72EFC" w14:textId="77777777" w:rsidR="00FE3695" w:rsidRDefault="00EE358F" w:rsidP="0047009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 Công </w:t>
      </w:r>
      <w:proofErr w:type="spellStart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đoàn</w:t>
      </w:r>
      <w:proofErr w:type="spellEnd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924933" w14:textId="77777777" w:rsidR="00FE3695" w:rsidRPr="00FE3695" w:rsidRDefault="00EE358F" w:rsidP="0047009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Công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với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quán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triệt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70EE03B" w14:textId="77777777" w:rsidR="00FE3695" w:rsidRPr="00FE3695" w:rsidRDefault="00EE358F" w:rsidP="0047009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Cán</w:t>
      </w:r>
      <w:proofErr w:type="spellEnd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bộ</w:t>
      </w:r>
      <w:proofErr w:type="spellEnd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quản</w:t>
      </w:r>
      <w:proofErr w:type="spellEnd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lý</w:t>
      </w:r>
      <w:proofErr w:type="spellEnd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giáo</w:t>
      </w:r>
      <w:proofErr w:type="spellEnd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viên</w:t>
      </w:r>
      <w:proofErr w:type="spellEnd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nhân</w:t>
      </w:r>
      <w:proofErr w:type="spellEnd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viên</w:t>
      </w:r>
      <w:proofErr w:type="spellEnd"/>
      <w:r w:rsidRPr="00FE36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0BCDB79" w14:textId="62544AB2" w:rsidR="00FE3695" w:rsidRPr="0047009F" w:rsidRDefault="00EE358F" w:rsidP="00A57942">
      <w:pPr>
        <w:shd w:val="clear" w:color="auto" w:fill="FFFFFF"/>
        <w:spacing w:after="120" w:line="240" w:lineRule="auto"/>
        <w:ind w:firstLine="720"/>
        <w:jc w:val="both"/>
        <w:rPr>
          <w:rStyle w:val="markedcontent"/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Báo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41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</w:t>
      </w:r>
      <w:r w:rsidR="00FE3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2024-2025 của trường </w:t>
      </w:r>
      <w:proofErr w:type="spellStart"/>
      <w:r w:rsidR="00FE3695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="00FE3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="00FE3695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="00FE3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57942">
        <w:rPr>
          <w:rFonts w:ascii="Times New Roman" w:eastAsia="Times New Roman" w:hAnsi="Times New Roman" w:cs="Times New Roman"/>
          <w:color w:val="000000"/>
          <w:sz w:val="28"/>
          <w:szCs w:val="28"/>
        </w:rPr>
        <w:t>Pha</w:t>
      </w:r>
      <w:proofErr w:type="spellEnd"/>
      <w:r w:rsidR="00A57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Long./</w:t>
      </w:r>
      <w:r w:rsidR="00FE36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3CA475" w14:textId="77777777" w:rsidR="00FE3695" w:rsidRPr="0047009F" w:rsidRDefault="00FE3695" w:rsidP="00FE3695">
      <w:pPr>
        <w:shd w:val="clear" w:color="auto" w:fill="FFFFFF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47009F">
        <w:rPr>
          <w:rStyle w:val="markedcontent"/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Nơi </w:t>
      </w:r>
      <w:proofErr w:type="spellStart"/>
      <w:r w:rsidRPr="0047009F">
        <w:rPr>
          <w:rStyle w:val="markedcontent"/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nhận</w:t>
      </w:r>
      <w:proofErr w:type="spellEnd"/>
      <w:r w:rsidRPr="0047009F">
        <w:rPr>
          <w:rStyle w:val="markedcontent"/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: </w:t>
      </w:r>
    </w:p>
    <w:p w14:paraId="597E0973" w14:textId="77777777" w:rsidR="00FE3695" w:rsidRPr="0047009F" w:rsidRDefault="00FE3695" w:rsidP="00FE3695">
      <w:pPr>
        <w:shd w:val="clear" w:color="auto" w:fill="FFFFFF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Phòng</w:t>
      </w:r>
      <w:proofErr w:type="spellEnd"/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GD&amp;ĐT (</w:t>
      </w:r>
      <w:proofErr w:type="spellStart"/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để</w:t>
      </w:r>
      <w:proofErr w:type="spellEnd"/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b/c); </w:t>
      </w:r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           </w:t>
      </w:r>
      <w:r w:rsidR="0047009F"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47009F">
        <w:rPr>
          <w:rStyle w:val="markedcontent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HIỆU TRƯỞNG </w:t>
      </w:r>
    </w:p>
    <w:p w14:paraId="74656A15" w14:textId="77777777" w:rsidR="00FE3695" w:rsidRPr="0047009F" w:rsidRDefault="00FE3695" w:rsidP="00FE3695">
      <w:pPr>
        <w:shd w:val="clear" w:color="auto" w:fill="FFFFFF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- BCH Công </w:t>
      </w:r>
      <w:proofErr w:type="spellStart"/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đoàn</w:t>
      </w:r>
      <w:proofErr w:type="spellEnd"/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để</w:t>
      </w:r>
      <w:proofErr w:type="spellEnd"/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P/h</w:t>
      </w:r>
      <w:proofErr w:type="gramStart"/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proofErr w:type="gramEnd"/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1A3AF06" w14:textId="77777777" w:rsidR="00FE3695" w:rsidRPr="0047009F" w:rsidRDefault="00FE3695" w:rsidP="00FE3695">
      <w:pPr>
        <w:shd w:val="clear" w:color="auto" w:fill="FFFFFF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- Các </w:t>
      </w:r>
      <w:proofErr w:type="spellStart"/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tổ</w:t>
      </w:r>
      <w:proofErr w:type="spellEnd"/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CM, VP; </w:t>
      </w:r>
    </w:p>
    <w:p w14:paraId="2F7E5BB6" w14:textId="77777777" w:rsidR="00FE3695" w:rsidRPr="0047009F" w:rsidRDefault="00FE3695" w:rsidP="00FE3695">
      <w:pPr>
        <w:shd w:val="clear" w:color="auto" w:fill="FFFFFF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009F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- Lưu: VT. </w:t>
      </w:r>
    </w:p>
    <w:p w14:paraId="1D912990" w14:textId="77777777" w:rsidR="00FE3695" w:rsidRPr="00FE3695" w:rsidRDefault="00FE3695" w:rsidP="00FE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hAnsi="Arial" w:cs="Arial"/>
          <w:shd w:val="clear" w:color="auto" w:fill="FFFFFF"/>
        </w:rPr>
        <w:br/>
      </w:r>
    </w:p>
    <w:p w14:paraId="64F447FC" w14:textId="263F9F9A" w:rsidR="009235CE" w:rsidRPr="00FE3695" w:rsidRDefault="0047009F" w:rsidP="0047009F">
      <w:pPr>
        <w:tabs>
          <w:tab w:val="left" w:pos="71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A57942">
        <w:rPr>
          <w:rFonts w:ascii="Times New Roman" w:hAnsi="Times New Roman" w:cs="Times New Roman"/>
          <w:b/>
          <w:sz w:val="28"/>
          <w:szCs w:val="28"/>
        </w:rPr>
        <w:t>Phùng</w:t>
      </w:r>
      <w:proofErr w:type="spellEnd"/>
      <w:r w:rsidR="00A57942">
        <w:rPr>
          <w:rFonts w:ascii="Times New Roman" w:hAnsi="Times New Roman" w:cs="Times New Roman"/>
          <w:b/>
          <w:sz w:val="28"/>
          <w:szCs w:val="28"/>
        </w:rPr>
        <w:t xml:space="preserve"> Thanh Thủy</w:t>
      </w:r>
    </w:p>
    <w:sectPr w:rsidR="009235CE" w:rsidRPr="00FE3695" w:rsidSect="0047009F">
      <w:headerReference w:type="default" r:id="rId7"/>
      <w:pgSz w:w="11907" w:h="16840" w:code="9"/>
      <w:pgMar w:top="1134" w:right="1134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659A3" w14:textId="77777777" w:rsidR="00D632FB" w:rsidRDefault="00D632FB" w:rsidP="0047009F">
      <w:pPr>
        <w:spacing w:after="0" w:line="240" w:lineRule="auto"/>
      </w:pPr>
      <w:r>
        <w:separator/>
      </w:r>
    </w:p>
  </w:endnote>
  <w:endnote w:type="continuationSeparator" w:id="0">
    <w:p w14:paraId="2876C457" w14:textId="77777777" w:rsidR="00D632FB" w:rsidRDefault="00D632FB" w:rsidP="0047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89BB0" w14:textId="77777777" w:rsidR="00D632FB" w:rsidRDefault="00D632FB" w:rsidP="0047009F">
      <w:pPr>
        <w:spacing w:after="0" w:line="240" w:lineRule="auto"/>
      </w:pPr>
      <w:r>
        <w:separator/>
      </w:r>
    </w:p>
  </w:footnote>
  <w:footnote w:type="continuationSeparator" w:id="0">
    <w:p w14:paraId="735D2D42" w14:textId="77777777" w:rsidR="00D632FB" w:rsidRDefault="00D632FB" w:rsidP="0047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16010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3E517D" w14:textId="77777777" w:rsidR="0047009F" w:rsidRDefault="004700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E2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6C907A4" w14:textId="77777777" w:rsidR="0047009F" w:rsidRDefault="00470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8C5"/>
    <w:multiLevelType w:val="hybridMultilevel"/>
    <w:tmpl w:val="0D4ECB7C"/>
    <w:lvl w:ilvl="0" w:tplc="B8809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07248D"/>
    <w:multiLevelType w:val="hybridMultilevel"/>
    <w:tmpl w:val="EC02A178"/>
    <w:lvl w:ilvl="0" w:tplc="5498D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1015379">
    <w:abstractNumId w:val="1"/>
  </w:num>
  <w:num w:numId="2" w16cid:durableId="146954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8F"/>
    <w:rsid w:val="00013BA0"/>
    <w:rsid w:val="00400858"/>
    <w:rsid w:val="00412CD6"/>
    <w:rsid w:val="0047009F"/>
    <w:rsid w:val="004E0BA3"/>
    <w:rsid w:val="005E53BA"/>
    <w:rsid w:val="00716084"/>
    <w:rsid w:val="008D6E22"/>
    <w:rsid w:val="008F0885"/>
    <w:rsid w:val="009235CE"/>
    <w:rsid w:val="00926D5D"/>
    <w:rsid w:val="00A57942"/>
    <w:rsid w:val="00AE0D89"/>
    <w:rsid w:val="00B50E20"/>
    <w:rsid w:val="00C05FC0"/>
    <w:rsid w:val="00CA309A"/>
    <w:rsid w:val="00D632FB"/>
    <w:rsid w:val="00EE358F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204B73"/>
  <w15:chartTrackingRefBased/>
  <w15:docId w15:val="{A4ADB72B-43AD-42CC-8EF3-EEA0D23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E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EE358F"/>
  </w:style>
  <w:style w:type="paragraph" w:styleId="ListParagraph">
    <w:name w:val="List Paragraph"/>
    <w:basedOn w:val="Normal"/>
    <w:uiPriority w:val="34"/>
    <w:qFormat/>
    <w:rsid w:val="007160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9F"/>
  </w:style>
  <w:style w:type="paragraph" w:styleId="Footer">
    <w:name w:val="footer"/>
    <w:basedOn w:val="Normal"/>
    <w:link w:val="FooterChar"/>
    <w:uiPriority w:val="99"/>
    <w:unhideWhenUsed/>
    <w:rsid w:val="00470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9F"/>
  </w:style>
  <w:style w:type="paragraph" w:styleId="BalloonText">
    <w:name w:val="Balloon Text"/>
    <w:basedOn w:val="Normal"/>
    <w:link w:val="BalloonTextChar"/>
    <w:uiPriority w:val="99"/>
    <w:semiHidden/>
    <w:unhideWhenUsed/>
    <w:rsid w:val="00470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cp:lastPrinted>2024-09-25T09:06:00Z</cp:lastPrinted>
  <dcterms:created xsi:type="dcterms:W3CDTF">2024-09-16T07:07:00Z</dcterms:created>
  <dcterms:modified xsi:type="dcterms:W3CDTF">2024-10-03T00:55:00Z</dcterms:modified>
</cp:coreProperties>
</file>